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B34C" w14:textId="58242E41" w:rsidR="37C8C673" w:rsidRDefault="37C8C673" w:rsidP="1789A2DC">
      <w:pPr>
        <w:spacing w:line="240" w:lineRule="exact"/>
        <w:rPr>
          <w:rFonts w:ascii="Calibri" w:eastAsia="Calibri" w:hAnsi="Calibri" w:cs="Calibri"/>
          <w:b/>
          <w:bCs/>
          <w:color w:val="000000" w:themeColor="text1"/>
          <w:sz w:val="28"/>
          <w:szCs w:val="28"/>
          <w:u w:val="single"/>
        </w:rPr>
      </w:pPr>
      <w:r w:rsidRPr="1789A2DC">
        <w:rPr>
          <w:rFonts w:ascii="Calibri" w:eastAsia="Calibri" w:hAnsi="Calibri" w:cs="Calibri"/>
          <w:b/>
          <w:bCs/>
          <w:color w:val="000000" w:themeColor="text1"/>
          <w:sz w:val="28"/>
          <w:szCs w:val="28"/>
          <w:u w:val="single"/>
        </w:rPr>
        <w:t>FAQ</w:t>
      </w:r>
      <w:r w:rsidR="6E891C74" w:rsidRPr="1789A2DC">
        <w:rPr>
          <w:rFonts w:ascii="Calibri" w:eastAsia="Calibri" w:hAnsi="Calibri" w:cs="Calibri"/>
          <w:b/>
          <w:bCs/>
          <w:color w:val="000000" w:themeColor="text1"/>
          <w:sz w:val="28"/>
          <w:szCs w:val="28"/>
          <w:u w:val="single"/>
        </w:rPr>
        <w:t>’</w:t>
      </w:r>
      <w:r w:rsidRPr="1789A2DC">
        <w:rPr>
          <w:rFonts w:ascii="Calibri" w:eastAsia="Calibri" w:hAnsi="Calibri" w:cs="Calibri"/>
          <w:b/>
          <w:bCs/>
          <w:color w:val="000000" w:themeColor="text1"/>
          <w:sz w:val="28"/>
          <w:szCs w:val="28"/>
          <w:u w:val="single"/>
        </w:rPr>
        <w:t>s</w:t>
      </w:r>
      <w:r w:rsidR="104DD9A2" w:rsidRPr="1789A2DC">
        <w:rPr>
          <w:rFonts w:ascii="Calibri" w:eastAsia="Calibri" w:hAnsi="Calibri" w:cs="Calibri"/>
          <w:b/>
          <w:bCs/>
          <w:color w:val="000000" w:themeColor="text1"/>
          <w:sz w:val="28"/>
          <w:szCs w:val="28"/>
          <w:u w:val="single"/>
        </w:rPr>
        <w:t>:</w:t>
      </w:r>
    </w:p>
    <w:tbl>
      <w:tblPr>
        <w:tblStyle w:val="TableGrid"/>
        <w:tblW w:w="0" w:type="auto"/>
        <w:tblLayout w:type="fixed"/>
        <w:tblLook w:val="06A0" w:firstRow="1" w:lastRow="0" w:firstColumn="1" w:lastColumn="0" w:noHBand="1" w:noVBand="1"/>
      </w:tblPr>
      <w:tblGrid>
        <w:gridCol w:w="3270"/>
        <w:gridCol w:w="5745"/>
      </w:tblGrid>
      <w:tr w:rsidR="37C8C673" w14:paraId="1068E66F" w14:textId="77777777" w:rsidTr="120DBCAA">
        <w:tc>
          <w:tcPr>
            <w:tcW w:w="3270" w:type="dxa"/>
          </w:tcPr>
          <w:p w14:paraId="72DBC6C8" w14:textId="3CF64696" w:rsidR="37C8C673" w:rsidRDefault="37C8C673" w:rsidP="37C8C673">
            <w:pPr>
              <w:rPr>
                <w:rFonts w:eastAsiaTheme="minorEastAsia"/>
                <w:b/>
                <w:bCs/>
                <w:color w:val="000000" w:themeColor="text1"/>
                <w:sz w:val="28"/>
                <w:szCs w:val="28"/>
                <w:u w:val="single"/>
              </w:rPr>
            </w:pPr>
            <w:r w:rsidRPr="37C8C673">
              <w:rPr>
                <w:rFonts w:eastAsiaTheme="minorEastAsia"/>
                <w:b/>
                <w:bCs/>
                <w:color w:val="000000" w:themeColor="text1"/>
                <w:sz w:val="28"/>
                <w:szCs w:val="28"/>
                <w:u w:val="single"/>
              </w:rPr>
              <w:t>Question</w:t>
            </w:r>
          </w:p>
        </w:tc>
        <w:tc>
          <w:tcPr>
            <w:tcW w:w="5745" w:type="dxa"/>
          </w:tcPr>
          <w:p w14:paraId="772B28AD" w14:textId="39D3C9B1" w:rsidR="37C8C673" w:rsidRDefault="37C8C673" w:rsidP="37C8C673">
            <w:pPr>
              <w:rPr>
                <w:rFonts w:eastAsiaTheme="minorEastAsia"/>
                <w:b/>
                <w:bCs/>
                <w:color w:val="000000" w:themeColor="text1"/>
                <w:sz w:val="28"/>
                <w:szCs w:val="28"/>
                <w:u w:val="single"/>
              </w:rPr>
            </w:pPr>
            <w:r w:rsidRPr="37C8C673">
              <w:rPr>
                <w:rFonts w:eastAsiaTheme="minorEastAsia"/>
                <w:b/>
                <w:bCs/>
                <w:color w:val="000000" w:themeColor="text1"/>
                <w:sz w:val="28"/>
                <w:szCs w:val="28"/>
                <w:u w:val="single"/>
              </w:rPr>
              <w:t>Answer</w:t>
            </w:r>
          </w:p>
        </w:tc>
      </w:tr>
      <w:tr w:rsidR="37C8C673" w14:paraId="1A8407F5" w14:textId="77777777" w:rsidTr="120DBCAA">
        <w:tc>
          <w:tcPr>
            <w:tcW w:w="3270" w:type="dxa"/>
            <w:vAlign w:val="center"/>
          </w:tcPr>
          <w:p w14:paraId="0E944D23" w14:textId="7B0CC84E" w:rsidR="0B503712" w:rsidRDefault="0B503712" w:rsidP="1789A2DC">
            <w:pPr>
              <w:spacing w:line="257" w:lineRule="auto"/>
              <w:rPr>
                <w:rFonts w:eastAsiaTheme="minorEastAsia"/>
                <w:sz w:val="28"/>
                <w:szCs w:val="28"/>
              </w:rPr>
            </w:pPr>
            <w:r w:rsidRPr="1789A2DC">
              <w:rPr>
                <w:rFonts w:eastAsiaTheme="minorEastAsia"/>
                <w:sz w:val="28"/>
                <w:szCs w:val="28"/>
              </w:rPr>
              <w:t xml:space="preserve">How do people apply for these </w:t>
            </w:r>
            <w:r w:rsidR="75F8A984" w:rsidRPr="1789A2DC">
              <w:rPr>
                <w:rFonts w:eastAsiaTheme="minorEastAsia"/>
                <w:sz w:val="28"/>
                <w:szCs w:val="28"/>
              </w:rPr>
              <w:t>Cost-of-Living</w:t>
            </w:r>
            <w:r w:rsidRPr="1789A2DC">
              <w:rPr>
                <w:rFonts w:eastAsiaTheme="minorEastAsia"/>
                <w:sz w:val="28"/>
                <w:szCs w:val="28"/>
              </w:rPr>
              <w:t xml:space="preserve"> Payments?</w:t>
            </w:r>
          </w:p>
          <w:p w14:paraId="3E05EF90" w14:textId="64946E52" w:rsidR="37C8C673" w:rsidRDefault="37C8C673" w:rsidP="1789A2DC">
            <w:pPr>
              <w:rPr>
                <w:rFonts w:eastAsiaTheme="minorEastAsia"/>
                <w:color w:val="000000" w:themeColor="text1"/>
                <w:sz w:val="28"/>
                <w:szCs w:val="28"/>
              </w:rPr>
            </w:pPr>
          </w:p>
        </w:tc>
        <w:tc>
          <w:tcPr>
            <w:tcW w:w="5745" w:type="dxa"/>
          </w:tcPr>
          <w:p w14:paraId="0BBADFF5" w14:textId="6FADC559" w:rsidR="37C8C673" w:rsidRDefault="0B503712" w:rsidP="1789A2DC">
            <w:pPr>
              <w:spacing w:line="257" w:lineRule="auto"/>
              <w:rPr>
                <w:rFonts w:eastAsiaTheme="minorEastAsia"/>
                <w:sz w:val="28"/>
                <w:szCs w:val="28"/>
              </w:rPr>
            </w:pPr>
            <w:r w:rsidRPr="1789A2DC">
              <w:rPr>
                <w:rFonts w:eastAsiaTheme="minorEastAsia"/>
                <w:sz w:val="28"/>
                <w:szCs w:val="28"/>
              </w:rPr>
              <w:t xml:space="preserve">People do not need to apply for </w:t>
            </w:r>
            <w:r w:rsidR="529D6F6F" w:rsidRPr="1789A2DC">
              <w:rPr>
                <w:rFonts w:eastAsiaTheme="minorEastAsia"/>
                <w:sz w:val="28"/>
                <w:szCs w:val="28"/>
              </w:rPr>
              <w:t>Cost-of-Living</w:t>
            </w:r>
            <w:r w:rsidRPr="1789A2DC">
              <w:rPr>
                <w:rFonts w:eastAsiaTheme="minorEastAsia"/>
                <w:sz w:val="28"/>
                <w:szCs w:val="28"/>
              </w:rPr>
              <w:t xml:space="preserve"> payments. If they are eligible, they will be paid automatically in the same way that they usually receive their benefit or tax credits.</w:t>
            </w:r>
          </w:p>
        </w:tc>
      </w:tr>
      <w:tr w:rsidR="37C8C673" w14:paraId="0A995501" w14:textId="77777777" w:rsidTr="120DBCAA">
        <w:tc>
          <w:tcPr>
            <w:tcW w:w="3270" w:type="dxa"/>
            <w:vAlign w:val="center"/>
          </w:tcPr>
          <w:p w14:paraId="7A4AAA9F" w14:textId="792A28E0" w:rsidR="37C8C673" w:rsidRDefault="37C8C673" w:rsidP="1789A2DC">
            <w:pPr>
              <w:rPr>
                <w:rFonts w:eastAsiaTheme="minorEastAsia"/>
                <w:sz w:val="28"/>
                <w:szCs w:val="28"/>
                <w:lang w:val="en-US"/>
              </w:rPr>
            </w:pPr>
            <w:r w:rsidRPr="1789A2DC">
              <w:rPr>
                <w:rFonts w:eastAsiaTheme="minorEastAsia"/>
                <w:sz w:val="28"/>
                <w:szCs w:val="28"/>
              </w:rPr>
              <w:t>Will these payments affect other benefits?</w:t>
            </w:r>
          </w:p>
        </w:tc>
        <w:tc>
          <w:tcPr>
            <w:tcW w:w="5745" w:type="dxa"/>
          </w:tcPr>
          <w:p w14:paraId="652A1329" w14:textId="675DE0A1" w:rsidR="37C8C673" w:rsidRDefault="619416C3" w:rsidP="1789A2DC">
            <w:pPr>
              <w:spacing w:line="257" w:lineRule="auto"/>
              <w:rPr>
                <w:rFonts w:eastAsiaTheme="minorEastAsia"/>
                <w:sz w:val="28"/>
                <w:szCs w:val="28"/>
              </w:rPr>
            </w:pPr>
            <w:r w:rsidRPr="1789A2DC">
              <w:rPr>
                <w:rFonts w:eastAsiaTheme="minorEastAsia"/>
                <w:sz w:val="28"/>
                <w:szCs w:val="28"/>
              </w:rPr>
              <w:t>These payments are not taxable and will not affect the benefits or tax credits people already receive.</w:t>
            </w:r>
          </w:p>
        </w:tc>
      </w:tr>
      <w:tr w:rsidR="37C8C673" w14:paraId="78C090D1" w14:textId="77777777" w:rsidTr="120DBCAA">
        <w:tc>
          <w:tcPr>
            <w:tcW w:w="3270" w:type="dxa"/>
            <w:vAlign w:val="center"/>
          </w:tcPr>
          <w:p w14:paraId="0A81ED2C" w14:textId="2F783E98" w:rsidR="37C8C673" w:rsidRDefault="6AB5E817" w:rsidP="1789A2DC">
            <w:pPr>
              <w:spacing w:line="257" w:lineRule="auto"/>
              <w:rPr>
                <w:rFonts w:eastAsiaTheme="minorEastAsia"/>
                <w:sz w:val="28"/>
                <w:szCs w:val="28"/>
              </w:rPr>
            </w:pPr>
            <w:r w:rsidRPr="1789A2DC">
              <w:rPr>
                <w:rFonts w:eastAsiaTheme="minorEastAsia"/>
                <w:sz w:val="28"/>
                <w:szCs w:val="28"/>
              </w:rPr>
              <w:t>How will people know they are eligible? What are the qualifying dates and requirements?</w:t>
            </w:r>
          </w:p>
        </w:tc>
        <w:tc>
          <w:tcPr>
            <w:tcW w:w="5745" w:type="dxa"/>
          </w:tcPr>
          <w:p w14:paraId="37B8E155" w14:textId="3BA892D6" w:rsidR="37C8C673" w:rsidRDefault="6AB5E817" w:rsidP="1789A2DC">
            <w:pPr>
              <w:spacing w:line="257" w:lineRule="auto"/>
              <w:rPr>
                <w:rFonts w:eastAsiaTheme="minorEastAsia"/>
                <w:sz w:val="28"/>
                <w:szCs w:val="28"/>
              </w:rPr>
            </w:pPr>
            <w:r w:rsidRPr="1789A2DC">
              <w:rPr>
                <w:rFonts w:eastAsiaTheme="minorEastAsia"/>
                <w:sz w:val="28"/>
                <w:szCs w:val="28"/>
              </w:rPr>
              <w:t>To be eligible for the second payment, families must have been entitled to a payment (or later found to be entitled to a payment) of either:</w:t>
            </w:r>
          </w:p>
          <w:p w14:paraId="360E34FB" w14:textId="5D31DB70" w:rsidR="37C8C673" w:rsidRDefault="6AB5E817" w:rsidP="1789A2DC">
            <w:pPr>
              <w:spacing w:line="257" w:lineRule="auto"/>
              <w:rPr>
                <w:rFonts w:eastAsiaTheme="minorEastAsia"/>
                <w:sz w:val="28"/>
                <w:szCs w:val="28"/>
              </w:rPr>
            </w:pPr>
            <w:r w:rsidRPr="1789A2DC">
              <w:rPr>
                <w:rFonts w:eastAsiaTheme="minorEastAsia"/>
                <w:sz w:val="28"/>
                <w:szCs w:val="28"/>
              </w:rPr>
              <w:t>- Universal Credit for an assessment period that ended in the period 26 August to 25 September</w:t>
            </w:r>
          </w:p>
          <w:p w14:paraId="630740D3" w14:textId="57BC73A9" w:rsidR="37C8C673" w:rsidRDefault="6AB5E817" w:rsidP="1789A2DC">
            <w:pPr>
              <w:spacing w:line="257" w:lineRule="auto"/>
              <w:rPr>
                <w:rFonts w:eastAsiaTheme="minorEastAsia"/>
                <w:sz w:val="28"/>
                <w:szCs w:val="28"/>
              </w:rPr>
            </w:pPr>
            <w:r w:rsidRPr="1789A2DC">
              <w:rPr>
                <w:rFonts w:eastAsiaTheme="minorEastAsia"/>
                <w:sz w:val="28"/>
                <w:szCs w:val="28"/>
              </w:rPr>
              <w:t>- Income-based JSA, income-related ESA, Income Support or Pension Credit for any day in the period 26 August 2022 to 25 September 2022</w:t>
            </w:r>
          </w:p>
          <w:p w14:paraId="39A104AC" w14:textId="00EAEF9E" w:rsidR="37C8C673" w:rsidRDefault="6AB5E817" w:rsidP="1789A2DC">
            <w:pPr>
              <w:spacing w:line="257" w:lineRule="auto"/>
              <w:rPr>
                <w:rFonts w:eastAsiaTheme="minorEastAsia"/>
                <w:sz w:val="28"/>
                <w:szCs w:val="28"/>
              </w:rPr>
            </w:pPr>
            <w:r w:rsidRPr="1789A2DC">
              <w:rPr>
                <w:rFonts w:eastAsiaTheme="minorEastAsia"/>
                <w:sz w:val="28"/>
                <w:szCs w:val="28"/>
              </w:rPr>
              <w:t>- For tax credit customers – to be eligible for the second payment people must have received a payment, or an annual award of at least £26 for the 22/23 tax year, of tax credits for any day in the period 26 August to 25 September 2022. </w:t>
            </w:r>
          </w:p>
        </w:tc>
      </w:tr>
      <w:tr w:rsidR="37C8C673" w14:paraId="1CBC2DDE" w14:textId="77777777" w:rsidTr="120DBCAA">
        <w:tc>
          <w:tcPr>
            <w:tcW w:w="3270" w:type="dxa"/>
            <w:vAlign w:val="center"/>
          </w:tcPr>
          <w:p w14:paraId="6B3BE0B0" w14:textId="3781C527" w:rsidR="37C8C673" w:rsidRDefault="37C8C673" w:rsidP="1789A2DC">
            <w:pPr>
              <w:rPr>
                <w:rFonts w:eastAsiaTheme="minorEastAsia"/>
                <w:sz w:val="28"/>
                <w:szCs w:val="28"/>
                <w:lang w:val="en-US"/>
              </w:rPr>
            </w:pPr>
            <w:r w:rsidRPr="1789A2DC">
              <w:rPr>
                <w:rFonts w:eastAsiaTheme="minorEastAsia"/>
                <w:sz w:val="28"/>
                <w:szCs w:val="28"/>
              </w:rPr>
              <w:t>When will the second cost of living payment be paid?</w:t>
            </w:r>
          </w:p>
        </w:tc>
        <w:tc>
          <w:tcPr>
            <w:tcW w:w="5745" w:type="dxa"/>
          </w:tcPr>
          <w:p w14:paraId="654BBE6F" w14:textId="3A9D5EC9" w:rsidR="37C8C673" w:rsidRDefault="74AB97A6" w:rsidP="120DBCAA">
            <w:pPr>
              <w:spacing w:line="264" w:lineRule="auto"/>
            </w:pPr>
            <w:r w:rsidRPr="120DBCAA">
              <w:rPr>
                <w:rFonts w:ascii="Calibri" w:eastAsia="Calibri" w:hAnsi="Calibri" w:cs="Calibri"/>
                <w:sz w:val="28"/>
                <w:szCs w:val="28"/>
              </w:rPr>
              <w:t>The second payment of £324 will be paid to most people from November 8 until November 23. Eligible people receiving tax credits only will receive their second payment by the end of November in most cases.</w:t>
            </w:r>
          </w:p>
        </w:tc>
      </w:tr>
      <w:tr w:rsidR="37C8C673" w14:paraId="0BF83CDF" w14:textId="77777777" w:rsidTr="120DBCAA">
        <w:tc>
          <w:tcPr>
            <w:tcW w:w="3270" w:type="dxa"/>
            <w:vAlign w:val="center"/>
          </w:tcPr>
          <w:p w14:paraId="0C49D205" w14:textId="4D69FB6E" w:rsidR="37C8C673" w:rsidRDefault="7350AD01" w:rsidP="1789A2DC">
            <w:pPr>
              <w:spacing w:line="257" w:lineRule="auto"/>
              <w:rPr>
                <w:rFonts w:eastAsiaTheme="minorEastAsia"/>
                <w:sz w:val="28"/>
                <w:szCs w:val="28"/>
              </w:rPr>
            </w:pPr>
            <w:r w:rsidRPr="1789A2DC">
              <w:rPr>
                <w:rFonts w:eastAsiaTheme="minorEastAsia"/>
                <w:sz w:val="28"/>
                <w:szCs w:val="28"/>
              </w:rPr>
              <w:t>Why are the two amounts of £326 and £324, slightly different?</w:t>
            </w:r>
          </w:p>
        </w:tc>
        <w:tc>
          <w:tcPr>
            <w:tcW w:w="5745" w:type="dxa"/>
          </w:tcPr>
          <w:p w14:paraId="6F14C00C" w14:textId="0AD0E031" w:rsidR="37C8C673" w:rsidRDefault="7350AD01" w:rsidP="1789A2DC">
            <w:pPr>
              <w:spacing w:line="257" w:lineRule="auto"/>
              <w:rPr>
                <w:rFonts w:eastAsiaTheme="minorEastAsia"/>
                <w:sz w:val="28"/>
                <w:szCs w:val="28"/>
              </w:rPr>
            </w:pPr>
            <w:r w:rsidRPr="1789A2DC">
              <w:rPr>
                <w:rFonts w:eastAsiaTheme="minorEastAsia"/>
                <w:sz w:val="28"/>
                <w:szCs w:val="28"/>
              </w:rPr>
              <w:t>This will help people to know they have received both payments and avoid the risk of fraud and duplicate payments.</w:t>
            </w:r>
          </w:p>
        </w:tc>
      </w:tr>
      <w:tr w:rsidR="37C8C673" w14:paraId="27BD5762" w14:textId="77777777" w:rsidTr="120DBCAA">
        <w:tc>
          <w:tcPr>
            <w:tcW w:w="3270" w:type="dxa"/>
            <w:vAlign w:val="center"/>
          </w:tcPr>
          <w:p w14:paraId="13EE07E2" w14:textId="17696B53" w:rsidR="37C8C673" w:rsidRDefault="37C8C673" w:rsidP="1789A2DC">
            <w:pPr>
              <w:rPr>
                <w:rFonts w:eastAsiaTheme="minorEastAsia"/>
                <w:sz w:val="28"/>
                <w:szCs w:val="28"/>
                <w:lang w:val="en-US"/>
              </w:rPr>
            </w:pPr>
            <w:r w:rsidRPr="1789A2DC">
              <w:rPr>
                <w:rFonts w:eastAsiaTheme="minorEastAsia"/>
                <w:sz w:val="28"/>
                <w:szCs w:val="28"/>
              </w:rPr>
              <w:t>What if a customer gets child tax credit and working tax credit?</w:t>
            </w:r>
          </w:p>
        </w:tc>
        <w:tc>
          <w:tcPr>
            <w:tcW w:w="5745" w:type="dxa"/>
          </w:tcPr>
          <w:p w14:paraId="0DDBE0E3" w14:textId="4C3686B3" w:rsidR="37C8C673" w:rsidRDefault="0B5E702C" w:rsidP="1789A2DC">
            <w:pPr>
              <w:rPr>
                <w:rFonts w:eastAsiaTheme="minorEastAsia"/>
                <w:sz w:val="28"/>
                <w:szCs w:val="28"/>
              </w:rPr>
            </w:pPr>
            <w:r w:rsidRPr="1789A2DC">
              <w:rPr>
                <w:rFonts w:eastAsiaTheme="minorEastAsia"/>
                <w:sz w:val="28"/>
                <w:szCs w:val="28"/>
              </w:rPr>
              <w:t xml:space="preserve">If you get both Child Tax Credit and Working Tax Credit, you will receive one set of </w:t>
            </w:r>
            <w:r w:rsidR="04F7D9C8" w:rsidRPr="1789A2DC">
              <w:rPr>
                <w:rFonts w:eastAsiaTheme="minorEastAsia"/>
                <w:sz w:val="28"/>
                <w:szCs w:val="28"/>
              </w:rPr>
              <w:t>Cost-of-Living</w:t>
            </w:r>
            <w:r w:rsidRPr="1789A2DC">
              <w:rPr>
                <w:rFonts w:eastAsiaTheme="minorEastAsia"/>
                <w:sz w:val="28"/>
                <w:szCs w:val="28"/>
              </w:rPr>
              <w:t xml:space="preserve"> Payments, linked to Child Tax Credit only.</w:t>
            </w:r>
          </w:p>
        </w:tc>
      </w:tr>
      <w:tr w:rsidR="37C8C673" w14:paraId="312A6C3B" w14:textId="77777777" w:rsidTr="120DBCAA">
        <w:tc>
          <w:tcPr>
            <w:tcW w:w="3270" w:type="dxa"/>
            <w:vAlign w:val="center"/>
          </w:tcPr>
          <w:p w14:paraId="5CE22F85" w14:textId="5F2670FD" w:rsidR="37C8C673" w:rsidRDefault="37C8C673" w:rsidP="1789A2DC">
            <w:pPr>
              <w:rPr>
                <w:rFonts w:eastAsiaTheme="minorEastAsia"/>
                <w:sz w:val="28"/>
                <w:szCs w:val="28"/>
              </w:rPr>
            </w:pPr>
            <w:r w:rsidRPr="1789A2DC">
              <w:rPr>
                <w:rFonts w:eastAsiaTheme="minorEastAsia"/>
                <w:sz w:val="28"/>
                <w:szCs w:val="28"/>
              </w:rPr>
              <w:t>I get additional benefits. Will this affect how much I get?</w:t>
            </w:r>
          </w:p>
        </w:tc>
        <w:tc>
          <w:tcPr>
            <w:tcW w:w="5745" w:type="dxa"/>
          </w:tcPr>
          <w:p w14:paraId="2F6BE7FD" w14:textId="452AE472" w:rsidR="37C8C673" w:rsidRDefault="1E278348" w:rsidP="1789A2DC">
            <w:pPr>
              <w:spacing w:line="257" w:lineRule="auto"/>
              <w:rPr>
                <w:rFonts w:eastAsiaTheme="minorEastAsia"/>
                <w:sz w:val="28"/>
                <w:szCs w:val="28"/>
              </w:rPr>
            </w:pPr>
            <w:r w:rsidRPr="1789A2DC">
              <w:rPr>
                <w:rFonts w:eastAsiaTheme="minorEastAsia"/>
                <w:sz w:val="28"/>
                <w:szCs w:val="28"/>
              </w:rPr>
              <w:t xml:space="preserve">If you receive tax credits from HMRC or a </w:t>
            </w:r>
            <w:hyperlink r:id="rId8">
              <w:r w:rsidRPr="1789A2DC">
                <w:rPr>
                  <w:rStyle w:val="Hyperlink"/>
                  <w:rFonts w:eastAsiaTheme="minorEastAsia"/>
                  <w:color w:val="auto"/>
                  <w:sz w:val="28"/>
                  <w:szCs w:val="28"/>
                </w:rPr>
                <w:t xml:space="preserve">qualifying </w:t>
              </w:r>
              <w:r w:rsidR="00F424F6" w:rsidRPr="1789A2DC">
                <w:rPr>
                  <w:rStyle w:val="Hyperlink"/>
                  <w:rFonts w:eastAsiaTheme="minorEastAsia"/>
                  <w:color w:val="auto"/>
                  <w:sz w:val="28"/>
                  <w:szCs w:val="28"/>
                </w:rPr>
                <w:t>low-income</w:t>
              </w:r>
              <w:r w:rsidRPr="1789A2DC">
                <w:rPr>
                  <w:rStyle w:val="Hyperlink"/>
                  <w:rFonts w:eastAsiaTheme="minorEastAsia"/>
                  <w:color w:val="auto"/>
                  <w:sz w:val="28"/>
                  <w:szCs w:val="28"/>
                </w:rPr>
                <w:t xml:space="preserve"> benefit</w:t>
              </w:r>
            </w:hyperlink>
            <w:r w:rsidRPr="1789A2DC">
              <w:rPr>
                <w:rFonts w:eastAsiaTheme="minorEastAsia"/>
                <w:sz w:val="28"/>
                <w:szCs w:val="28"/>
              </w:rPr>
              <w:t xml:space="preserve"> from DWP, you will receive a Cost-of-Living Payment from DWP </w:t>
            </w:r>
            <w:r w:rsidRPr="1789A2DC">
              <w:rPr>
                <w:rFonts w:eastAsiaTheme="minorEastAsia"/>
                <w:sz w:val="28"/>
                <w:szCs w:val="28"/>
              </w:rPr>
              <w:lastRenderedPageBreak/>
              <w:t xml:space="preserve">or HMRC. If you also get a </w:t>
            </w:r>
            <w:hyperlink r:id="rId9">
              <w:r w:rsidRPr="1789A2DC">
                <w:rPr>
                  <w:rStyle w:val="Hyperlink"/>
                  <w:rFonts w:eastAsiaTheme="minorEastAsia"/>
                  <w:color w:val="auto"/>
                  <w:sz w:val="28"/>
                  <w:szCs w:val="28"/>
                </w:rPr>
                <w:t>qualifying disability benefit</w:t>
              </w:r>
            </w:hyperlink>
            <w:r w:rsidRPr="1789A2DC">
              <w:rPr>
                <w:rFonts w:eastAsiaTheme="minorEastAsia"/>
                <w:sz w:val="28"/>
                <w:szCs w:val="28"/>
              </w:rPr>
              <w:t>, you may receive an additional Disability Cost of Living Payment from DWP.</w:t>
            </w:r>
          </w:p>
        </w:tc>
      </w:tr>
      <w:tr w:rsidR="37C8C673" w14:paraId="29F9CEBF" w14:textId="77777777" w:rsidTr="120DBCAA">
        <w:tc>
          <w:tcPr>
            <w:tcW w:w="3270" w:type="dxa"/>
            <w:vAlign w:val="center"/>
          </w:tcPr>
          <w:p w14:paraId="4591DCC1" w14:textId="6B787554" w:rsidR="37C8C673" w:rsidRDefault="4D2A0864" w:rsidP="2EF50190">
            <w:pPr>
              <w:rPr>
                <w:rFonts w:eastAsiaTheme="minorEastAsia"/>
                <w:sz w:val="28"/>
                <w:szCs w:val="28"/>
              </w:rPr>
            </w:pPr>
            <w:r w:rsidRPr="2EF50190">
              <w:rPr>
                <w:rFonts w:eastAsiaTheme="minorEastAsia"/>
                <w:sz w:val="28"/>
                <w:szCs w:val="28"/>
              </w:rPr>
              <w:lastRenderedPageBreak/>
              <w:t xml:space="preserve">Why are tax credits customers getting paid later?  </w:t>
            </w:r>
          </w:p>
        </w:tc>
        <w:tc>
          <w:tcPr>
            <w:tcW w:w="5745" w:type="dxa"/>
          </w:tcPr>
          <w:p w14:paraId="4BDE5FC0" w14:textId="40FCEC45" w:rsidR="37C8C673" w:rsidRDefault="47FE6023" w:rsidP="1789A2DC">
            <w:pPr>
              <w:spacing w:line="257" w:lineRule="auto"/>
              <w:rPr>
                <w:rFonts w:eastAsiaTheme="minorEastAsia"/>
                <w:sz w:val="28"/>
                <w:szCs w:val="28"/>
              </w:rPr>
            </w:pPr>
            <w:r w:rsidRPr="1789A2DC">
              <w:rPr>
                <w:rFonts w:eastAsiaTheme="minorEastAsia"/>
                <w:sz w:val="28"/>
                <w:szCs w:val="28"/>
              </w:rPr>
              <w:t>It's possible for customers to be entitled to both tax credits and other eligible benefits which are administered by DWP. So, HMRC will make payments to eligible customers receiving tax credits only, shortly after DWP, to avoid duplicate payments.</w:t>
            </w:r>
          </w:p>
        </w:tc>
      </w:tr>
      <w:tr w:rsidR="2EF50190" w14:paraId="2F2D74B4" w14:textId="77777777" w:rsidTr="120DBCAA">
        <w:tc>
          <w:tcPr>
            <w:tcW w:w="3270" w:type="dxa"/>
            <w:vAlign w:val="center"/>
          </w:tcPr>
          <w:p w14:paraId="4DAE0226" w14:textId="796F3C79" w:rsidR="38B22CFB" w:rsidRDefault="38B22CFB" w:rsidP="2EF50190">
            <w:pPr>
              <w:rPr>
                <w:rFonts w:eastAsiaTheme="minorEastAsia"/>
                <w:sz w:val="28"/>
                <w:szCs w:val="28"/>
              </w:rPr>
            </w:pPr>
            <w:r w:rsidRPr="2EF50190">
              <w:rPr>
                <w:rFonts w:eastAsiaTheme="minorEastAsia"/>
                <w:sz w:val="28"/>
                <w:szCs w:val="28"/>
              </w:rPr>
              <w:t xml:space="preserve">My Universal Credit award was £0 during the qualifying period. Will I still receive a payment?  </w:t>
            </w:r>
          </w:p>
        </w:tc>
        <w:tc>
          <w:tcPr>
            <w:tcW w:w="5745" w:type="dxa"/>
          </w:tcPr>
          <w:p w14:paraId="6ACFFDC6" w14:textId="3EEB6397" w:rsidR="38B22CFB" w:rsidRDefault="59FE6639" w:rsidP="1789A2DC">
            <w:pPr>
              <w:rPr>
                <w:rFonts w:eastAsiaTheme="minorEastAsia"/>
                <w:sz w:val="28"/>
                <w:szCs w:val="28"/>
              </w:rPr>
            </w:pPr>
            <w:r w:rsidRPr="1789A2DC">
              <w:rPr>
                <w:rFonts w:eastAsiaTheme="minorEastAsia"/>
                <w:sz w:val="28"/>
                <w:szCs w:val="28"/>
              </w:rPr>
              <w:t xml:space="preserve">You will not be eligible for the </w:t>
            </w:r>
            <w:r w:rsidR="63575194" w:rsidRPr="1789A2DC">
              <w:rPr>
                <w:rFonts w:eastAsiaTheme="minorEastAsia"/>
                <w:sz w:val="28"/>
                <w:szCs w:val="28"/>
              </w:rPr>
              <w:t>Cost-of-Living</w:t>
            </w:r>
            <w:r w:rsidRPr="1789A2DC">
              <w:rPr>
                <w:rFonts w:eastAsiaTheme="minorEastAsia"/>
                <w:sz w:val="28"/>
                <w:szCs w:val="28"/>
              </w:rPr>
              <w:t xml:space="preserve"> Payment if your Universal Credit award is determined to be £0 for the qualifying assessment period. This is sometimes called a ‘nil award’. Universal Credit households can receive a nil award for various reasons, but the majority are due to the amount of household earnings. Other reasons that can cause or contribute to a nil award include the amount of capital, other </w:t>
            </w:r>
            <w:r w:rsidR="00F424F6" w:rsidRPr="1789A2DC">
              <w:rPr>
                <w:rFonts w:eastAsiaTheme="minorEastAsia"/>
                <w:sz w:val="28"/>
                <w:szCs w:val="28"/>
              </w:rPr>
              <w:t>income,</w:t>
            </w:r>
            <w:r w:rsidRPr="1789A2DC">
              <w:rPr>
                <w:rFonts w:eastAsiaTheme="minorEastAsia"/>
                <w:sz w:val="28"/>
                <w:szCs w:val="28"/>
              </w:rPr>
              <w:t xml:space="preserve"> and other benefits. If money has also been deducted from your UC award for other reasons, such as payments of rent to your landlord or for money that you owe, you might still be eligible for a </w:t>
            </w:r>
            <w:r w:rsidR="13BD5A82" w:rsidRPr="1789A2DC">
              <w:rPr>
                <w:rFonts w:eastAsiaTheme="minorEastAsia"/>
                <w:sz w:val="28"/>
                <w:szCs w:val="28"/>
              </w:rPr>
              <w:t>Cost-of-Living</w:t>
            </w:r>
            <w:r w:rsidRPr="1789A2DC">
              <w:rPr>
                <w:rFonts w:eastAsiaTheme="minorEastAsia"/>
                <w:sz w:val="28"/>
                <w:szCs w:val="28"/>
              </w:rPr>
              <w:t xml:space="preserve"> Payment.</w:t>
            </w:r>
          </w:p>
        </w:tc>
      </w:tr>
      <w:tr w:rsidR="2EF50190" w14:paraId="6F792D15" w14:textId="77777777" w:rsidTr="120DBCAA">
        <w:tc>
          <w:tcPr>
            <w:tcW w:w="3270" w:type="dxa"/>
            <w:vAlign w:val="center"/>
          </w:tcPr>
          <w:p w14:paraId="21ADC18F" w14:textId="2291E83C" w:rsidR="38B22CFB" w:rsidRDefault="38B22CFB" w:rsidP="2EF50190">
            <w:pPr>
              <w:rPr>
                <w:rFonts w:eastAsiaTheme="minorEastAsia"/>
                <w:sz w:val="28"/>
                <w:szCs w:val="28"/>
              </w:rPr>
            </w:pPr>
            <w:r w:rsidRPr="2EF50190">
              <w:rPr>
                <w:rFonts w:eastAsiaTheme="minorEastAsia"/>
                <w:sz w:val="28"/>
                <w:szCs w:val="28"/>
              </w:rPr>
              <w:t>Is it too late to claim Pension Credit and qualify for the second Cost of Living payment?</w:t>
            </w:r>
          </w:p>
        </w:tc>
        <w:tc>
          <w:tcPr>
            <w:tcW w:w="5745" w:type="dxa"/>
          </w:tcPr>
          <w:p w14:paraId="51675FDF" w14:textId="681B36B2" w:rsidR="79A38EAD" w:rsidRDefault="40709054" w:rsidP="1789A2DC">
            <w:pPr>
              <w:rPr>
                <w:rFonts w:eastAsiaTheme="minorEastAsia"/>
                <w:sz w:val="28"/>
                <w:szCs w:val="28"/>
              </w:rPr>
            </w:pPr>
            <w:r w:rsidRPr="1789A2DC">
              <w:rPr>
                <w:rFonts w:eastAsiaTheme="minorEastAsia"/>
                <w:sz w:val="28"/>
                <w:szCs w:val="28"/>
              </w:rPr>
              <w:t>No - you can backdate a claim for Pension Credit for up to 3 months if you’re eligible. But you should claim as soon as possible, and by no later than 1</w:t>
            </w:r>
            <w:r w:rsidR="00F424F6">
              <w:rPr>
                <w:rFonts w:eastAsiaTheme="minorEastAsia"/>
                <w:sz w:val="28"/>
                <w:szCs w:val="28"/>
              </w:rPr>
              <w:t>8</w:t>
            </w:r>
            <w:r w:rsidRPr="1789A2DC">
              <w:rPr>
                <w:rFonts w:eastAsiaTheme="minorEastAsia"/>
                <w:sz w:val="28"/>
                <w:szCs w:val="28"/>
              </w:rPr>
              <w:t xml:space="preserve"> December to be able to qualify for the 2nd Cost of Living payment.</w:t>
            </w:r>
          </w:p>
        </w:tc>
      </w:tr>
    </w:tbl>
    <w:p w14:paraId="5C2CE6B4" w14:textId="52591187" w:rsidR="37C8C673" w:rsidRDefault="37C8C673" w:rsidP="1789A2DC">
      <w:pPr>
        <w:rPr>
          <w:rFonts w:eastAsiaTheme="minorEastAsia"/>
          <w:sz w:val="28"/>
          <w:szCs w:val="28"/>
          <w:u w:val="single"/>
          <w:lang w:val="en-US"/>
        </w:rPr>
      </w:pPr>
      <w:r w:rsidRPr="120DBCAA">
        <w:rPr>
          <w:rFonts w:eastAsiaTheme="minorEastAsia"/>
          <w:sz w:val="28"/>
          <w:szCs w:val="28"/>
          <w:u w:val="single"/>
          <w:lang w:val="en-US"/>
        </w:rPr>
        <w:t>Useful links</w:t>
      </w:r>
    </w:p>
    <w:p w14:paraId="3F3EF50D" w14:textId="176AE678" w:rsidR="2AB0B29B" w:rsidRDefault="2AB0B29B" w:rsidP="120DBCAA">
      <w:r w:rsidRPr="120DBCAA">
        <w:rPr>
          <w:rFonts w:ascii="Calibri" w:eastAsia="Calibri" w:hAnsi="Calibri" w:cs="Calibri"/>
          <w:sz w:val="28"/>
          <w:szCs w:val="28"/>
          <w:lang w:val="en-US"/>
        </w:rPr>
        <w:t xml:space="preserve">• </w:t>
      </w:r>
      <w:hyperlink r:id="rId10">
        <w:r w:rsidRPr="120DBCAA">
          <w:rPr>
            <w:rStyle w:val="Hyperlink"/>
            <w:rFonts w:ascii="Calibri" w:eastAsia="Calibri" w:hAnsi="Calibri" w:cs="Calibri"/>
            <w:sz w:val="28"/>
            <w:szCs w:val="28"/>
            <w:lang w:val="en-US"/>
          </w:rPr>
          <w:t>Use the HM Gov benefits checker to find out what you might be entitled to</w:t>
        </w:r>
      </w:hyperlink>
    </w:p>
    <w:p w14:paraId="30CB713D" w14:textId="2838928D" w:rsidR="2AB0B29B" w:rsidRDefault="2AB0B29B" w:rsidP="120DBCAA">
      <w:r w:rsidRPr="120DBCAA">
        <w:rPr>
          <w:rFonts w:ascii="Calibri" w:eastAsia="Calibri" w:hAnsi="Calibri" w:cs="Calibri"/>
          <w:sz w:val="28"/>
          <w:szCs w:val="28"/>
          <w:lang w:val="en-US"/>
        </w:rPr>
        <w:t xml:space="preserve">• </w:t>
      </w:r>
      <w:hyperlink r:id="rId11">
        <w:r w:rsidRPr="120DBCAA">
          <w:rPr>
            <w:rStyle w:val="Hyperlink"/>
            <w:rFonts w:ascii="Calibri" w:eastAsia="Calibri" w:hAnsi="Calibri" w:cs="Calibri"/>
            <w:sz w:val="28"/>
            <w:szCs w:val="28"/>
            <w:lang w:val="en-US"/>
          </w:rPr>
          <w:t>BSL information on YouTube</w:t>
        </w:r>
      </w:hyperlink>
    </w:p>
    <w:p w14:paraId="5D2AA3CD" w14:textId="1B3B6D09" w:rsidR="2AB0B29B" w:rsidRDefault="2AB0B29B" w:rsidP="120DBCAA">
      <w:r w:rsidRPr="120DBCAA">
        <w:rPr>
          <w:rFonts w:ascii="Calibri" w:eastAsia="Calibri" w:hAnsi="Calibri" w:cs="Calibri"/>
          <w:sz w:val="28"/>
          <w:szCs w:val="28"/>
          <w:lang w:val="en-US"/>
        </w:rPr>
        <w:t xml:space="preserve">• Use a </w:t>
      </w:r>
      <w:hyperlink r:id="rId12">
        <w:r w:rsidRPr="120DBCAA">
          <w:rPr>
            <w:rStyle w:val="Hyperlink"/>
            <w:rFonts w:ascii="Calibri" w:eastAsia="Calibri" w:hAnsi="Calibri" w:cs="Calibri"/>
            <w:sz w:val="28"/>
            <w:szCs w:val="28"/>
            <w:lang w:val="en-US"/>
          </w:rPr>
          <w:t>benefits calculator</w:t>
        </w:r>
      </w:hyperlink>
      <w:r w:rsidRPr="120DBCAA">
        <w:rPr>
          <w:rFonts w:ascii="Calibri" w:eastAsia="Calibri" w:hAnsi="Calibri" w:cs="Calibri"/>
          <w:sz w:val="28"/>
          <w:szCs w:val="28"/>
          <w:lang w:val="en-US"/>
        </w:rPr>
        <w:t xml:space="preserve"> to find out what benefits you could get</w:t>
      </w:r>
    </w:p>
    <w:p w14:paraId="576D801F" w14:textId="1FE94A95" w:rsidR="2AB0B29B" w:rsidRDefault="2AB0B29B" w:rsidP="120DBCAA">
      <w:pPr>
        <w:rPr>
          <w:rStyle w:val="Hyperlink"/>
          <w:rFonts w:ascii="Calibri" w:eastAsia="Calibri" w:hAnsi="Calibri" w:cs="Calibri"/>
          <w:sz w:val="28"/>
          <w:szCs w:val="28"/>
          <w:lang w:val="en-US"/>
        </w:rPr>
      </w:pPr>
      <w:r w:rsidRPr="120DBCAA">
        <w:rPr>
          <w:rFonts w:ascii="Calibri" w:eastAsia="Calibri" w:hAnsi="Calibri" w:cs="Calibri"/>
          <w:sz w:val="28"/>
          <w:szCs w:val="28"/>
          <w:lang w:val="en-US"/>
        </w:rPr>
        <w:t xml:space="preserve">• </w:t>
      </w:r>
      <w:hyperlink r:id="rId13">
        <w:r w:rsidRPr="120DBCAA">
          <w:rPr>
            <w:rStyle w:val="Hyperlink"/>
            <w:rFonts w:ascii="Calibri" w:eastAsia="Calibri" w:hAnsi="Calibri" w:cs="Calibri"/>
            <w:sz w:val="28"/>
            <w:szCs w:val="28"/>
            <w:lang w:val="en-US"/>
          </w:rPr>
          <w:t>DWP Press Release</w:t>
        </w:r>
      </w:hyperlink>
    </w:p>
    <w:p w14:paraId="645FFD66" w14:textId="23CD0B45" w:rsidR="2AB0B29B" w:rsidRDefault="2AB0B29B" w:rsidP="120DBCAA">
      <w:r w:rsidRPr="120DBCAA">
        <w:rPr>
          <w:rFonts w:ascii="Calibri" w:eastAsia="Calibri" w:hAnsi="Calibri" w:cs="Calibri"/>
          <w:sz w:val="28"/>
          <w:szCs w:val="28"/>
          <w:lang w:val="en-US"/>
        </w:rPr>
        <w:t xml:space="preserve">• </w:t>
      </w:r>
      <w:hyperlink r:id="rId14">
        <w:r w:rsidRPr="120DBCAA">
          <w:rPr>
            <w:rStyle w:val="Hyperlink"/>
            <w:rFonts w:ascii="Calibri" w:eastAsia="Calibri" w:hAnsi="Calibri" w:cs="Calibri"/>
            <w:sz w:val="28"/>
            <w:szCs w:val="28"/>
            <w:lang w:val="en-US"/>
          </w:rPr>
          <w:t>Cost Of Living Factsheet</w:t>
        </w:r>
      </w:hyperlink>
      <w:r w:rsidRPr="120DBCAA">
        <w:rPr>
          <w:rFonts w:ascii="Calibri" w:eastAsia="Calibri" w:hAnsi="Calibri" w:cs="Calibri"/>
          <w:sz w:val="28"/>
          <w:szCs w:val="28"/>
          <w:lang w:val="en-US"/>
        </w:rPr>
        <w:t xml:space="preserve"> </w:t>
      </w:r>
    </w:p>
    <w:p w14:paraId="78C7C832" w14:textId="15CCB366" w:rsidR="2AB0B29B" w:rsidRDefault="2AB0B29B" w:rsidP="120DBCAA">
      <w:pPr>
        <w:rPr>
          <w:rFonts w:ascii="Calibri" w:eastAsia="Calibri" w:hAnsi="Calibri" w:cs="Calibri"/>
          <w:sz w:val="28"/>
          <w:szCs w:val="28"/>
          <w:lang w:val="en-US"/>
        </w:rPr>
      </w:pPr>
      <w:r w:rsidRPr="120DBCAA">
        <w:rPr>
          <w:rFonts w:ascii="Calibri" w:eastAsia="Calibri" w:hAnsi="Calibri" w:cs="Calibri"/>
          <w:sz w:val="28"/>
          <w:szCs w:val="28"/>
          <w:lang w:val="en-US"/>
        </w:rPr>
        <w:t xml:space="preserve">• </w:t>
      </w:r>
      <w:hyperlink r:id="rId15">
        <w:r w:rsidRPr="120DBCAA">
          <w:rPr>
            <w:rStyle w:val="Hyperlink"/>
            <w:rFonts w:ascii="Calibri" w:eastAsia="Calibri" w:hAnsi="Calibri" w:cs="Calibri"/>
            <w:sz w:val="28"/>
            <w:szCs w:val="28"/>
            <w:lang w:val="en-US"/>
          </w:rPr>
          <w:t>Cost Of Living campaign website</w:t>
        </w:r>
      </w:hyperlink>
    </w:p>
    <w:p w14:paraId="257B6C83" w14:textId="58775F51" w:rsidR="2AB0B29B" w:rsidRDefault="2AB0B29B" w:rsidP="120DBCAA">
      <w:pPr>
        <w:rPr>
          <w:rFonts w:ascii="Calibri" w:eastAsia="Calibri" w:hAnsi="Calibri" w:cs="Calibri"/>
          <w:sz w:val="28"/>
          <w:szCs w:val="28"/>
          <w:lang w:val="en-US"/>
        </w:rPr>
      </w:pPr>
      <w:r w:rsidRPr="120DBCAA">
        <w:rPr>
          <w:rFonts w:ascii="Calibri" w:eastAsia="Calibri" w:hAnsi="Calibri" w:cs="Calibri"/>
          <w:sz w:val="28"/>
          <w:szCs w:val="28"/>
          <w:lang w:val="en-US"/>
        </w:rPr>
        <w:lastRenderedPageBreak/>
        <w:t xml:space="preserve">• You may be able to get other kinds of support, </w:t>
      </w:r>
      <w:r w:rsidR="4BD4390A" w:rsidRPr="120DBCAA">
        <w:rPr>
          <w:rFonts w:ascii="Calibri" w:eastAsia="Calibri" w:hAnsi="Calibri" w:cs="Calibri"/>
          <w:sz w:val="28"/>
          <w:szCs w:val="28"/>
          <w:lang w:val="en-US"/>
        </w:rPr>
        <w:t>including:</w:t>
      </w:r>
    </w:p>
    <w:p w14:paraId="0E4448EF" w14:textId="755EB1BD" w:rsidR="2AB0B29B" w:rsidRDefault="2AB0B29B" w:rsidP="120DBCAA">
      <w:pPr>
        <w:pStyle w:val="ListParagraph"/>
        <w:numPr>
          <w:ilvl w:val="0"/>
          <w:numId w:val="1"/>
        </w:numPr>
        <w:rPr>
          <w:rFonts w:ascii="Calibri" w:eastAsia="Calibri" w:hAnsi="Calibri" w:cs="Calibri"/>
          <w:sz w:val="28"/>
          <w:szCs w:val="28"/>
          <w:lang w:val="en-US"/>
        </w:rPr>
      </w:pPr>
      <w:r w:rsidRPr="120DBCAA">
        <w:rPr>
          <w:rFonts w:ascii="Calibri" w:eastAsia="Calibri" w:hAnsi="Calibri" w:cs="Calibri"/>
          <w:sz w:val="28"/>
          <w:szCs w:val="28"/>
          <w:lang w:val="en-US"/>
        </w:rPr>
        <w:t xml:space="preserve">help from the Household Support Fund from </w:t>
      </w:r>
      <w:hyperlink r:id="rId16">
        <w:r w:rsidRPr="120DBCAA">
          <w:rPr>
            <w:rStyle w:val="Hyperlink"/>
            <w:rFonts w:ascii="Calibri" w:eastAsia="Calibri" w:hAnsi="Calibri" w:cs="Calibri"/>
            <w:sz w:val="28"/>
            <w:szCs w:val="28"/>
            <w:lang w:val="en-US"/>
          </w:rPr>
          <w:t>local council</w:t>
        </w:r>
      </w:hyperlink>
      <w:r w:rsidR="00F424F6">
        <w:rPr>
          <w:rStyle w:val="Hyperlink"/>
          <w:rFonts w:ascii="Calibri" w:eastAsia="Calibri" w:hAnsi="Calibri" w:cs="Calibri"/>
          <w:sz w:val="28"/>
          <w:szCs w:val="28"/>
          <w:lang w:val="en-US"/>
        </w:rPr>
        <w:t>s</w:t>
      </w:r>
      <w:r w:rsidRPr="120DBCAA">
        <w:rPr>
          <w:rFonts w:ascii="Calibri" w:eastAsia="Calibri" w:hAnsi="Calibri" w:cs="Calibri"/>
          <w:sz w:val="28"/>
          <w:szCs w:val="28"/>
          <w:lang w:val="en-US"/>
        </w:rPr>
        <w:t xml:space="preserve"> in England</w:t>
      </w:r>
    </w:p>
    <w:p w14:paraId="74E163EB" w14:textId="29BD2F42" w:rsidR="2AB0B29B" w:rsidRDefault="00F424F6" w:rsidP="120DBCAA">
      <w:pPr>
        <w:pStyle w:val="ListParagraph"/>
        <w:numPr>
          <w:ilvl w:val="0"/>
          <w:numId w:val="1"/>
        </w:numPr>
        <w:rPr>
          <w:rFonts w:ascii="Calibri" w:eastAsia="Calibri" w:hAnsi="Calibri" w:cs="Calibri"/>
          <w:sz w:val="28"/>
          <w:szCs w:val="28"/>
          <w:lang w:val="en-US"/>
        </w:rPr>
      </w:pPr>
      <w:hyperlink r:id="rId17">
        <w:r w:rsidR="2AB0B29B" w:rsidRPr="120DBCAA">
          <w:rPr>
            <w:rStyle w:val="Hyperlink"/>
            <w:rFonts w:ascii="Calibri" w:eastAsia="Calibri" w:hAnsi="Calibri" w:cs="Calibri"/>
            <w:sz w:val="28"/>
            <w:szCs w:val="28"/>
            <w:lang w:val="en-US"/>
          </w:rPr>
          <w:t>Pension Credit calculator</w:t>
        </w:r>
      </w:hyperlink>
    </w:p>
    <w:p w14:paraId="53DDA06D" w14:textId="62F5D181" w:rsidR="2AB0B29B" w:rsidRDefault="00F424F6" w:rsidP="120DBCAA">
      <w:pPr>
        <w:pStyle w:val="ListParagraph"/>
        <w:numPr>
          <w:ilvl w:val="0"/>
          <w:numId w:val="1"/>
        </w:numPr>
        <w:rPr>
          <w:rFonts w:ascii="Calibri" w:eastAsia="Calibri" w:hAnsi="Calibri" w:cs="Calibri"/>
          <w:sz w:val="28"/>
          <w:szCs w:val="28"/>
          <w:lang w:val="en-US"/>
        </w:rPr>
      </w:pPr>
      <w:hyperlink r:id="rId18">
        <w:r w:rsidR="2AB0B29B" w:rsidRPr="120DBCAA">
          <w:rPr>
            <w:rStyle w:val="Hyperlink"/>
            <w:rFonts w:ascii="Calibri" w:eastAsia="Calibri" w:hAnsi="Calibri" w:cs="Calibri"/>
            <w:sz w:val="28"/>
            <w:szCs w:val="28"/>
            <w:lang w:val="en-US"/>
          </w:rPr>
          <w:t>Understanding Universal Credit</w:t>
        </w:r>
      </w:hyperlink>
    </w:p>
    <w:p w14:paraId="17D65CB6" w14:textId="0380DB51" w:rsidR="2AB0B29B" w:rsidRDefault="2AB0B29B" w:rsidP="120DBCAA">
      <w:pPr>
        <w:pStyle w:val="ListParagraph"/>
        <w:numPr>
          <w:ilvl w:val="0"/>
          <w:numId w:val="1"/>
        </w:numPr>
        <w:rPr>
          <w:rFonts w:ascii="Calibri" w:eastAsia="Calibri" w:hAnsi="Calibri" w:cs="Calibri"/>
          <w:sz w:val="28"/>
          <w:szCs w:val="28"/>
          <w:lang w:val="en-US"/>
        </w:rPr>
      </w:pPr>
      <w:r w:rsidRPr="120DBCAA">
        <w:rPr>
          <w:rFonts w:ascii="Calibri" w:eastAsia="Calibri" w:hAnsi="Calibri" w:cs="Calibri"/>
          <w:sz w:val="28"/>
          <w:szCs w:val="28"/>
          <w:lang w:val="en-US"/>
        </w:rPr>
        <w:t xml:space="preserve">the </w:t>
      </w:r>
      <w:hyperlink r:id="rId19">
        <w:r w:rsidRPr="120DBCAA">
          <w:rPr>
            <w:rStyle w:val="Hyperlink"/>
            <w:rFonts w:ascii="Calibri" w:eastAsia="Calibri" w:hAnsi="Calibri" w:cs="Calibri"/>
            <w:sz w:val="28"/>
            <w:szCs w:val="28"/>
            <w:lang w:val="en-US"/>
          </w:rPr>
          <w:t>Discretionary Assistance Fund</w:t>
        </w:r>
      </w:hyperlink>
      <w:r w:rsidRPr="120DBCAA">
        <w:rPr>
          <w:rFonts w:ascii="Calibri" w:eastAsia="Calibri" w:hAnsi="Calibri" w:cs="Calibri"/>
          <w:sz w:val="28"/>
          <w:szCs w:val="28"/>
          <w:lang w:val="en-US"/>
        </w:rPr>
        <w:t xml:space="preserve"> in Wales</w:t>
      </w:r>
    </w:p>
    <w:p w14:paraId="5A49490D" w14:textId="71EBE7F0" w:rsidR="2AB0B29B" w:rsidRDefault="2AB0B29B" w:rsidP="120DBCAA">
      <w:pPr>
        <w:pStyle w:val="ListParagraph"/>
        <w:numPr>
          <w:ilvl w:val="0"/>
          <w:numId w:val="1"/>
        </w:numPr>
        <w:rPr>
          <w:rFonts w:ascii="Calibri" w:eastAsia="Calibri" w:hAnsi="Calibri" w:cs="Calibri"/>
          <w:sz w:val="28"/>
          <w:szCs w:val="28"/>
          <w:lang w:val="en-US"/>
        </w:rPr>
      </w:pPr>
      <w:r w:rsidRPr="120DBCAA">
        <w:rPr>
          <w:rFonts w:ascii="Calibri" w:eastAsia="Calibri" w:hAnsi="Calibri" w:cs="Calibri"/>
          <w:sz w:val="28"/>
          <w:szCs w:val="28"/>
          <w:lang w:val="en-US"/>
        </w:rPr>
        <w:t xml:space="preserve">a </w:t>
      </w:r>
      <w:hyperlink r:id="rId20">
        <w:r w:rsidRPr="120DBCAA">
          <w:rPr>
            <w:rStyle w:val="Hyperlink"/>
            <w:rFonts w:ascii="Calibri" w:eastAsia="Calibri" w:hAnsi="Calibri" w:cs="Calibri"/>
            <w:sz w:val="28"/>
            <w:szCs w:val="28"/>
            <w:lang w:val="en-US"/>
          </w:rPr>
          <w:t>Crisis Grant or Community Care Grant</w:t>
        </w:r>
      </w:hyperlink>
      <w:r w:rsidRPr="120DBCAA">
        <w:rPr>
          <w:rFonts w:ascii="Calibri" w:eastAsia="Calibri" w:hAnsi="Calibri" w:cs="Calibri"/>
          <w:sz w:val="28"/>
          <w:szCs w:val="28"/>
          <w:lang w:val="en-US"/>
        </w:rPr>
        <w:t xml:space="preserve"> in Scotland</w:t>
      </w:r>
    </w:p>
    <w:p w14:paraId="2D40BB76" w14:textId="21419E00" w:rsidR="2AB0B29B" w:rsidRDefault="00F424F6" w:rsidP="120DBCAA">
      <w:pPr>
        <w:pStyle w:val="ListParagraph"/>
        <w:numPr>
          <w:ilvl w:val="0"/>
          <w:numId w:val="1"/>
        </w:numPr>
        <w:rPr>
          <w:rFonts w:ascii="Calibri" w:eastAsia="Calibri" w:hAnsi="Calibri" w:cs="Calibri"/>
          <w:sz w:val="28"/>
          <w:szCs w:val="28"/>
          <w:lang w:val="en-US"/>
        </w:rPr>
      </w:pPr>
      <w:hyperlink r:id="rId21">
        <w:r w:rsidR="2AB0B29B" w:rsidRPr="120DBCAA">
          <w:rPr>
            <w:rStyle w:val="Hyperlink"/>
            <w:rFonts w:ascii="Calibri" w:eastAsia="Calibri" w:hAnsi="Calibri" w:cs="Calibri"/>
            <w:sz w:val="28"/>
            <w:szCs w:val="28"/>
            <w:lang w:val="en-US"/>
          </w:rPr>
          <w:t>Discretionary Support or a Short-term Benefit Advance</w:t>
        </w:r>
      </w:hyperlink>
      <w:r w:rsidR="2AB0B29B" w:rsidRPr="120DBCAA">
        <w:rPr>
          <w:rFonts w:ascii="Calibri" w:eastAsia="Calibri" w:hAnsi="Calibri" w:cs="Calibri"/>
          <w:sz w:val="28"/>
          <w:szCs w:val="28"/>
          <w:lang w:val="en-US"/>
        </w:rPr>
        <w:t xml:space="preserve"> in N</w:t>
      </w:r>
      <w:r>
        <w:rPr>
          <w:rFonts w:ascii="Calibri" w:eastAsia="Calibri" w:hAnsi="Calibri" w:cs="Calibri"/>
          <w:sz w:val="28"/>
          <w:szCs w:val="28"/>
          <w:lang w:val="en-US"/>
        </w:rPr>
        <w:t>I</w:t>
      </w:r>
    </w:p>
    <w:sectPr w:rsidR="2AB0B2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6208"/>
    <w:multiLevelType w:val="hybridMultilevel"/>
    <w:tmpl w:val="0BCAB822"/>
    <w:lvl w:ilvl="0" w:tplc="8808FE2A">
      <w:start w:val="1"/>
      <w:numFmt w:val="bullet"/>
      <w:lvlText w:val=""/>
      <w:lvlJc w:val="left"/>
      <w:pPr>
        <w:ind w:left="720" w:hanging="360"/>
      </w:pPr>
      <w:rPr>
        <w:rFonts w:ascii="Symbol" w:hAnsi="Symbol" w:hint="default"/>
      </w:rPr>
    </w:lvl>
    <w:lvl w:ilvl="1" w:tplc="3D8A2FDC">
      <w:start w:val="1"/>
      <w:numFmt w:val="bullet"/>
      <w:lvlText w:val="o"/>
      <w:lvlJc w:val="left"/>
      <w:pPr>
        <w:ind w:left="1440" w:hanging="360"/>
      </w:pPr>
      <w:rPr>
        <w:rFonts w:ascii="Courier New" w:hAnsi="Courier New" w:hint="default"/>
      </w:rPr>
    </w:lvl>
    <w:lvl w:ilvl="2" w:tplc="93B4C7B6">
      <w:start w:val="1"/>
      <w:numFmt w:val="bullet"/>
      <w:lvlText w:val=""/>
      <w:lvlJc w:val="left"/>
      <w:pPr>
        <w:ind w:left="2160" w:hanging="360"/>
      </w:pPr>
      <w:rPr>
        <w:rFonts w:ascii="Wingdings" w:hAnsi="Wingdings" w:hint="default"/>
      </w:rPr>
    </w:lvl>
    <w:lvl w:ilvl="3" w:tplc="345294D6">
      <w:start w:val="1"/>
      <w:numFmt w:val="bullet"/>
      <w:lvlText w:val=""/>
      <w:lvlJc w:val="left"/>
      <w:pPr>
        <w:ind w:left="2880" w:hanging="360"/>
      </w:pPr>
      <w:rPr>
        <w:rFonts w:ascii="Symbol" w:hAnsi="Symbol" w:hint="default"/>
      </w:rPr>
    </w:lvl>
    <w:lvl w:ilvl="4" w:tplc="4DFC2D48">
      <w:start w:val="1"/>
      <w:numFmt w:val="bullet"/>
      <w:lvlText w:val="o"/>
      <w:lvlJc w:val="left"/>
      <w:pPr>
        <w:ind w:left="3600" w:hanging="360"/>
      </w:pPr>
      <w:rPr>
        <w:rFonts w:ascii="Courier New" w:hAnsi="Courier New" w:hint="default"/>
      </w:rPr>
    </w:lvl>
    <w:lvl w:ilvl="5" w:tplc="8A8C8588">
      <w:start w:val="1"/>
      <w:numFmt w:val="bullet"/>
      <w:lvlText w:val=""/>
      <w:lvlJc w:val="left"/>
      <w:pPr>
        <w:ind w:left="4320" w:hanging="360"/>
      </w:pPr>
      <w:rPr>
        <w:rFonts w:ascii="Wingdings" w:hAnsi="Wingdings" w:hint="default"/>
      </w:rPr>
    </w:lvl>
    <w:lvl w:ilvl="6" w:tplc="1260609A">
      <w:start w:val="1"/>
      <w:numFmt w:val="bullet"/>
      <w:lvlText w:val=""/>
      <w:lvlJc w:val="left"/>
      <w:pPr>
        <w:ind w:left="5040" w:hanging="360"/>
      </w:pPr>
      <w:rPr>
        <w:rFonts w:ascii="Symbol" w:hAnsi="Symbol" w:hint="default"/>
      </w:rPr>
    </w:lvl>
    <w:lvl w:ilvl="7" w:tplc="63040DEA">
      <w:start w:val="1"/>
      <w:numFmt w:val="bullet"/>
      <w:lvlText w:val="o"/>
      <w:lvlJc w:val="left"/>
      <w:pPr>
        <w:ind w:left="5760" w:hanging="360"/>
      </w:pPr>
      <w:rPr>
        <w:rFonts w:ascii="Courier New" w:hAnsi="Courier New" w:hint="default"/>
      </w:rPr>
    </w:lvl>
    <w:lvl w:ilvl="8" w:tplc="470C08FA">
      <w:start w:val="1"/>
      <w:numFmt w:val="bullet"/>
      <w:lvlText w:val=""/>
      <w:lvlJc w:val="left"/>
      <w:pPr>
        <w:ind w:left="6480" w:hanging="360"/>
      </w:pPr>
      <w:rPr>
        <w:rFonts w:ascii="Wingdings" w:hAnsi="Wingdings" w:hint="default"/>
      </w:rPr>
    </w:lvl>
  </w:abstractNum>
  <w:abstractNum w:abstractNumId="1" w15:restartNumberingAfterBreak="0">
    <w:nsid w:val="2C660B70"/>
    <w:multiLevelType w:val="hybridMultilevel"/>
    <w:tmpl w:val="CE728A4A"/>
    <w:lvl w:ilvl="0" w:tplc="D1A4F59A">
      <w:start w:val="1"/>
      <w:numFmt w:val="bullet"/>
      <w:lvlText w:val="-"/>
      <w:lvlJc w:val="left"/>
      <w:pPr>
        <w:ind w:left="720" w:hanging="360"/>
      </w:pPr>
      <w:rPr>
        <w:rFonts w:ascii="Calibri" w:hAnsi="Calibri" w:hint="default"/>
      </w:rPr>
    </w:lvl>
    <w:lvl w:ilvl="1" w:tplc="CDBADBE8">
      <w:start w:val="1"/>
      <w:numFmt w:val="bullet"/>
      <w:lvlText w:val="o"/>
      <w:lvlJc w:val="left"/>
      <w:pPr>
        <w:ind w:left="1440" w:hanging="360"/>
      </w:pPr>
      <w:rPr>
        <w:rFonts w:ascii="Courier New" w:hAnsi="Courier New" w:hint="default"/>
      </w:rPr>
    </w:lvl>
    <w:lvl w:ilvl="2" w:tplc="EB5E08C2">
      <w:start w:val="1"/>
      <w:numFmt w:val="bullet"/>
      <w:lvlText w:val=""/>
      <w:lvlJc w:val="left"/>
      <w:pPr>
        <w:ind w:left="2160" w:hanging="360"/>
      </w:pPr>
      <w:rPr>
        <w:rFonts w:ascii="Wingdings" w:hAnsi="Wingdings" w:hint="default"/>
      </w:rPr>
    </w:lvl>
    <w:lvl w:ilvl="3" w:tplc="6668FD7E">
      <w:start w:val="1"/>
      <w:numFmt w:val="bullet"/>
      <w:lvlText w:val=""/>
      <w:lvlJc w:val="left"/>
      <w:pPr>
        <w:ind w:left="2880" w:hanging="360"/>
      </w:pPr>
      <w:rPr>
        <w:rFonts w:ascii="Symbol" w:hAnsi="Symbol" w:hint="default"/>
      </w:rPr>
    </w:lvl>
    <w:lvl w:ilvl="4" w:tplc="8398F12E">
      <w:start w:val="1"/>
      <w:numFmt w:val="bullet"/>
      <w:lvlText w:val="o"/>
      <w:lvlJc w:val="left"/>
      <w:pPr>
        <w:ind w:left="3600" w:hanging="360"/>
      </w:pPr>
      <w:rPr>
        <w:rFonts w:ascii="Courier New" w:hAnsi="Courier New" w:hint="default"/>
      </w:rPr>
    </w:lvl>
    <w:lvl w:ilvl="5" w:tplc="3B267324">
      <w:start w:val="1"/>
      <w:numFmt w:val="bullet"/>
      <w:lvlText w:val=""/>
      <w:lvlJc w:val="left"/>
      <w:pPr>
        <w:ind w:left="4320" w:hanging="360"/>
      </w:pPr>
      <w:rPr>
        <w:rFonts w:ascii="Wingdings" w:hAnsi="Wingdings" w:hint="default"/>
      </w:rPr>
    </w:lvl>
    <w:lvl w:ilvl="6" w:tplc="C6706854">
      <w:start w:val="1"/>
      <w:numFmt w:val="bullet"/>
      <w:lvlText w:val=""/>
      <w:lvlJc w:val="left"/>
      <w:pPr>
        <w:ind w:left="5040" w:hanging="360"/>
      </w:pPr>
      <w:rPr>
        <w:rFonts w:ascii="Symbol" w:hAnsi="Symbol" w:hint="default"/>
      </w:rPr>
    </w:lvl>
    <w:lvl w:ilvl="7" w:tplc="CEFC139C">
      <w:start w:val="1"/>
      <w:numFmt w:val="bullet"/>
      <w:lvlText w:val="o"/>
      <w:lvlJc w:val="left"/>
      <w:pPr>
        <w:ind w:left="5760" w:hanging="360"/>
      </w:pPr>
      <w:rPr>
        <w:rFonts w:ascii="Courier New" w:hAnsi="Courier New" w:hint="default"/>
      </w:rPr>
    </w:lvl>
    <w:lvl w:ilvl="8" w:tplc="A7D044F6">
      <w:start w:val="1"/>
      <w:numFmt w:val="bullet"/>
      <w:lvlText w:val=""/>
      <w:lvlJc w:val="left"/>
      <w:pPr>
        <w:ind w:left="6480" w:hanging="360"/>
      </w:pPr>
      <w:rPr>
        <w:rFonts w:ascii="Wingdings" w:hAnsi="Wingdings" w:hint="default"/>
      </w:rPr>
    </w:lvl>
  </w:abstractNum>
  <w:abstractNum w:abstractNumId="2" w15:restartNumberingAfterBreak="0">
    <w:nsid w:val="4ED4B09D"/>
    <w:multiLevelType w:val="hybridMultilevel"/>
    <w:tmpl w:val="D702FD3E"/>
    <w:lvl w:ilvl="0" w:tplc="E7F8CCDA">
      <w:start w:val="1"/>
      <w:numFmt w:val="bullet"/>
      <w:lvlText w:val=""/>
      <w:lvlJc w:val="left"/>
      <w:pPr>
        <w:ind w:left="720" w:hanging="360"/>
      </w:pPr>
      <w:rPr>
        <w:rFonts w:ascii="Symbol" w:hAnsi="Symbol" w:hint="default"/>
      </w:rPr>
    </w:lvl>
    <w:lvl w:ilvl="1" w:tplc="425AF502">
      <w:start w:val="1"/>
      <w:numFmt w:val="bullet"/>
      <w:lvlText w:val="o"/>
      <w:lvlJc w:val="left"/>
      <w:pPr>
        <w:ind w:left="1440" w:hanging="360"/>
      </w:pPr>
      <w:rPr>
        <w:rFonts w:ascii="Courier New" w:hAnsi="Courier New" w:hint="default"/>
      </w:rPr>
    </w:lvl>
    <w:lvl w:ilvl="2" w:tplc="16CCF0F0">
      <w:start w:val="1"/>
      <w:numFmt w:val="bullet"/>
      <w:lvlText w:val=""/>
      <w:lvlJc w:val="left"/>
      <w:pPr>
        <w:ind w:left="2160" w:hanging="360"/>
      </w:pPr>
      <w:rPr>
        <w:rFonts w:ascii="Wingdings" w:hAnsi="Wingdings" w:hint="default"/>
      </w:rPr>
    </w:lvl>
    <w:lvl w:ilvl="3" w:tplc="A852BE18">
      <w:start w:val="1"/>
      <w:numFmt w:val="bullet"/>
      <w:lvlText w:val=""/>
      <w:lvlJc w:val="left"/>
      <w:pPr>
        <w:ind w:left="2880" w:hanging="360"/>
      </w:pPr>
      <w:rPr>
        <w:rFonts w:ascii="Symbol" w:hAnsi="Symbol" w:hint="default"/>
      </w:rPr>
    </w:lvl>
    <w:lvl w:ilvl="4" w:tplc="12EC31CE">
      <w:start w:val="1"/>
      <w:numFmt w:val="bullet"/>
      <w:lvlText w:val="o"/>
      <w:lvlJc w:val="left"/>
      <w:pPr>
        <w:ind w:left="3600" w:hanging="360"/>
      </w:pPr>
      <w:rPr>
        <w:rFonts w:ascii="Courier New" w:hAnsi="Courier New" w:hint="default"/>
      </w:rPr>
    </w:lvl>
    <w:lvl w:ilvl="5" w:tplc="234A1710">
      <w:start w:val="1"/>
      <w:numFmt w:val="bullet"/>
      <w:lvlText w:val=""/>
      <w:lvlJc w:val="left"/>
      <w:pPr>
        <w:ind w:left="4320" w:hanging="360"/>
      </w:pPr>
      <w:rPr>
        <w:rFonts w:ascii="Wingdings" w:hAnsi="Wingdings" w:hint="default"/>
      </w:rPr>
    </w:lvl>
    <w:lvl w:ilvl="6" w:tplc="258CB004">
      <w:start w:val="1"/>
      <w:numFmt w:val="bullet"/>
      <w:lvlText w:val=""/>
      <w:lvlJc w:val="left"/>
      <w:pPr>
        <w:ind w:left="5040" w:hanging="360"/>
      </w:pPr>
      <w:rPr>
        <w:rFonts w:ascii="Symbol" w:hAnsi="Symbol" w:hint="default"/>
      </w:rPr>
    </w:lvl>
    <w:lvl w:ilvl="7" w:tplc="08DE6E1C">
      <w:start w:val="1"/>
      <w:numFmt w:val="bullet"/>
      <w:lvlText w:val="o"/>
      <w:lvlJc w:val="left"/>
      <w:pPr>
        <w:ind w:left="5760" w:hanging="360"/>
      </w:pPr>
      <w:rPr>
        <w:rFonts w:ascii="Courier New" w:hAnsi="Courier New" w:hint="default"/>
      </w:rPr>
    </w:lvl>
    <w:lvl w:ilvl="8" w:tplc="8408B678">
      <w:start w:val="1"/>
      <w:numFmt w:val="bullet"/>
      <w:lvlText w:val=""/>
      <w:lvlJc w:val="left"/>
      <w:pPr>
        <w:ind w:left="6480" w:hanging="360"/>
      </w:pPr>
      <w:rPr>
        <w:rFonts w:ascii="Wingdings" w:hAnsi="Wingdings" w:hint="default"/>
      </w:rPr>
    </w:lvl>
  </w:abstractNum>
  <w:abstractNum w:abstractNumId="3" w15:restartNumberingAfterBreak="0">
    <w:nsid w:val="7CF783E5"/>
    <w:multiLevelType w:val="hybridMultilevel"/>
    <w:tmpl w:val="C1FED040"/>
    <w:lvl w:ilvl="0" w:tplc="BB7C2F1A">
      <w:start w:val="1"/>
      <w:numFmt w:val="bullet"/>
      <w:lvlText w:val=""/>
      <w:lvlJc w:val="left"/>
      <w:pPr>
        <w:ind w:left="720" w:hanging="360"/>
      </w:pPr>
      <w:rPr>
        <w:rFonts w:ascii="Symbol" w:hAnsi="Symbol" w:hint="default"/>
      </w:rPr>
    </w:lvl>
    <w:lvl w:ilvl="1" w:tplc="5BC28CF6">
      <w:start w:val="1"/>
      <w:numFmt w:val="bullet"/>
      <w:lvlText w:val="o"/>
      <w:lvlJc w:val="left"/>
      <w:pPr>
        <w:ind w:left="1440" w:hanging="360"/>
      </w:pPr>
      <w:rPr>
        <w:rFonts w:ascii="Courier New" w:hAnsi="Courier New" w:hint="default"/>
      </w:rPr>
    </w:lvl>
    <w:lvl w:ilvl="2" w:tplc="38821C08">
      <w:start w:val="1"/>
      <w:numFmt w:val="bullet"/>
      <w:lvlText w:val=""/>
      <w:lvlJc w:val="left"/>
      <w:pPr>
        <w:ind w:left="2160" w:hanging="360"/>
      </w:pPr>
      <w:rPr>
        <w:rFonts w:ascii="Wingdings" w:hAnsi="Wingdings" w:hint="default"/>
      </w:rPr>
    </w:lvl>
    <w:lvl w:ilvl="3" w:tplc="BA5AB718">
      <w:start w:val="1"/>
      <w:numFmt w:val="bullet"/>
      <w:lvlText w:val=""/>
      <w:lvlJc w:val="left"/>
      <w:pPr>
        <w:ind w:left="2880" w:hanging="360"/>
      </w:pPr>
      <w:rPr>
        <w:rFonts w:ascii="Symbol" w:hAnsi="Symbol" w:hint="default"/>
      </w:rPr>
    </w:lvl>
    <w:lvl w:ilvl="4" w:tplc="A2BC79DC">
      <w:start w:val="1"/>
      <w:numFmt w:val="bullet"/>
      <w:lvlText w:val="o"/>
      <w:lvlJc w:val="left"/>
      <w:pPr>
        <w:ind w:left="3600" w:hanging="360"/>
      </w:pPr>
      <w:rPr>
        <w:rFonts w:ascii="Courier New" w:hAnsi="Courier New" w:hint="default"/>
      </w:rPr>
    </w:lvl>
    <w:lvl w:ilvl="5" w:tplc="6096E2E2">
      <w:start w:val="1"/>
      <w:numFmt w:val="bullet"/>
      <w:lvlText w:val=""/>
      <w:lvlJc w:val="left"/>
      <w:pPr>
        <w:ind w:left="4320" w:hanging="360"/>
      </w:pPr>
      <w:rPr>
        <w:rFonts w:ascii="Wingdings" w:hAnsi="Wingdings" w:hint="default"/>
      </w:rPr>
    </w:lvl>
    <w:lvl w:ilvl="6" w:tplc="B7CA71EC">
      <w:start w:val="1"/>
      <w:numFmt w:val="bullet"/>
      <w:lvlText w:val=""/>
      <w:lvlJc w:val="left"/>
      <w:pPr>
        <w:ind w:left="5040" w:hanging="360"/>
      </w:pPr>
      <w:rPr>
        <w:rFonts w:ascii="Symbol" w:hAnsi="Symbol" w:hint="default"/>
      </w:rPr>
    </w:lvl>
    <w:lvl w:ilvl="7" w:tplc="EA54539A">
      <w:start w:val="1"/>
      <w:numFmt w:val="bullet"/>
      <w:lvlText w:val="o"/>
      <w:lvlJc w:val="left"/>
      <w:pPr>
        <w:ind w:left="5760" w:hanging="360"/>
      </w:pPr>
      <w:rPr>
        <w:rFonts w:ascii="Courier New" w:hAnsi="Courier New" w:hint="default"/>
      </w:rPr>
    </w:lvl>
    <w:lvl w:ilvl="8" w:tplc="D568B04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420C67"/>
    <w:rsid w:val="00F424F6"/>
    <w:rsid w:val="01D70A5A"/>
    <w:rsid w:val="03B3B4DB"/>
    <w:rsid w:val="03C06BBF"/>
    <w:rsid w:val="049F8A48"/>
    <w:rsid w:val="04F7D9C8"/>
    <w:rsid w:val="059D108B"/>
    <w:rsid w:val="05FC35DE"/>
    <w:rsid w:val="06255F71"/>
    <w:rsid w:val="06CEE2EE"/>
    <w:rsid w:val="06D62E64"/>
    <w:rsid w:val="079E1517"/>
    <w:rsid w:val="07A80775"/>
    <w:rsid w:val="0B503712"/>
    <w:rsid w:val="0B5E702C"/>
    <w:rsid w:val="0C524F05"/>
    <w:rsid w:val="0D2C478B"/>
    <w:rsid w:val="0E5E8040"/>
    <w:rsid w:val="0F031E66"/>
    <w:rsid w:val="0F2B5B85"/>
    <w:rsid w:val="104DD9A2"/>
    <w:rsid w:val="11ABE4C8"/>
    <w:rsid w:val="11F216FE"/>
    <w:rsid w:val="120DBCAA"/>
    <w:rsid w:val="1347B529"/>
    <w:rsid w:val="13BD5A82"/>
    <w:rsid w:val="141A6239"/>
    <w:rsid w:val="17161DD1"/>
    <w:rsid w:val="1789A2DC"/>
    <w:rsid w:val="17F53C5A"/>
    <w:rsid w:val="1A2AA3D8"/>
    <w:rsid w:val="1A4DBE93"/>
    <w:rsid w:val="1BEA62F3"/>
    <w:rsid w:val="1E278348"/>
    <w:rsid w:val="20BD0017"/>
    <w:rsid w:val="222FA6E5"/>
    <w:rsid w:val="2235B5BD"/>
    <w:rsid w:val="24CE4E59"/>
    <w:rsid w:val="26D01147"/>
    <w:rsid w:val="288BCEE4"/>
    <w:rsid w:val="2AB0B29B"/>
    <w:rsid w:val="2BBD60CE"/>
    <w:rsid w:val="2C1D9B7C"/>
    <w:rsid w:val="2E288CB1"/>
    <w:rsid w:val="2EF50190"/>
    <w:rsid w:val="2F7B2630"/>
    <w:rsid w:val="31A3CC19"/>
    <w:rsid w:val="3428AD61"/>
    <w:rsid w:val="34E55F39"/>
    <w:rsid w:val="35F31E88"/>
    <w:rsid w:val="36580607"/>
    <w:rsid w:val="37604E23"/>
    <w:rsid w:val="37C8C673"/>
    <w:rsid w:val="38B22CFB"/>
    <w:rsid w:val="38FC1E84"/>
    <w:rsid w:val="3AB00297"/>
    <w:rsid w:val="3B54A0BD"/>
    <w:rsid w:val="3DA14011"/>
    <w:rsid w:val="40709054"/>
    <w:rsid w:val="45F1D4C8"/>
    <w:rsid w:val="46420C67"/>
    <w:rsid w:val="465C4CEA"/>
    <w:rsid w:val="47FE6023"/>
    <w:rsid w:val="4A42AC02"/>
    <w:rsid w:val="4A71AF70"/>
    <w:rsid w:val="4BD4390A"/>
    <w:rsid w:val="4D2A0864"/>
    <w:rsid w:val="4E8A6EA7"/>
    <w:rsid w:val="4F7CFFDF"/>
    <w:rsid w:val="51A5B079"/>
    <w:rsid w:val="529D6F6F"/>
    <w:rsid w:val="56E3739E"/>
    <w:rsid w:val="57291C90"/>
    <w:rsid w:val="574D0B4A"/>
    <w:rsid w:val="59FE6639"/>
    <w:rsid w:val="5A5C8141"/>
    <w:rsid w:val="5E3B0591"/>
    <w:rsid w:val="619416C3"/>
    <w:rsid w:val="63575194"/>
    <w:rsid w:val="66D048DF"/>
    <w:rsid w:val="6AB5E817"/>
    <w:rsid w:val="6B7805B5"/>
    <w:rsid w:val="6DD92180"/>
    <w:rsid w:val="6E891C74"/>
    <w:rsid w:val="6EAD0B2E"/>
    <w:rsid w:val="72014A53"/>
    <w:rsid w:val="7350AD01"/>
    <w:rsid w:val="74AB97A6"/>
    <w:rsid w:val="75F8A984"/>
    <w:rsid w:val="763E5F3B"/>
    <w:rsid w:val="7718999C"/>
    <w:rsid w:val="789A50BC"/>
    <w:rsid w:val="79A38EAD"/>
    <w:rsid w:val="7CADA0BF"/>
    <w:rsid w:val="7FF2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89F4"/>
  <w15:chartTrackingRefBased/>
  <w15:docId w15:val="{704C53FB-92A9-4B72-9566-85728ABC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st-of-living-payment" TargetMode="External"/><Relationship Id="rId13" Type="http://schemas.openxmlformats.org/officeDocument/2006/relationships/hyperlink" Target="https://www.gov.uk/government/news/over-eight-million-households-to-receive-second-cost-of-living-payment-from-8-november-1" TargetMode="External"/><Relationship Id="rId18" Type="http://schemas.openxmlformats.org/officeDocument/2006/relationships/hyperlink" Target="https://www.understandinguniversalcredit.gov.uk/" TargetMode="External"/><Relationship Id="rId3" Type="http://schemas.openxmlformats.org/officeDocument/2006/relationships/customXml" Target="../customXml/item3.xml"/><Relationship Id="rId21" Type="http://schemas.openxmlformats.org/officeDocument/2006/relationships/hyperlink" Target="https://www.nidirect.gov.uk/contacts/contacts-az/finance-support-service-times-crisis-and-need" TargetMode="External"/><Relationship Id="rId7" Type="http://schemas.openxmlformats.org/officeDocument/2006/relationships/webSettings" Target="webSettings.xml"/><Relationship Id="rId12" Type="http://schemas.openxmlformats.org/officeDocument/2006/relationships/hyperlink" Target="https://www.gov.uk/benefits-calculators" TargetMode="External"/><Relationship Id="rId17" Type="http://schemas.openxmlformats.org/officeDocument/2006/relationships/hyperlink" Target="https://www.gov.uk/pension-credit-calculator" TargetMode="External"/><Relationship Id="rId2" Type="http://schemas.openxmlformats.org/officeDocument/2006/relationships/customXml" Target="../customXml/item2.xml"/><Relationship Id="rId16" Type="http://schemas.openxmlformats.org/officeDocument/2006/relationships/hyperlink" Target="https://www.gov.uk/find-local-council" TargetMode="External"/><Relationship Id="rId20" Type="http://schemas.openxmlformats.org/officeDocument/2006/relationships/hyperlink" Target="http://www.gov.scot/Topics/People/fairerscotland/scottishwelfaref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FOB4dzWFuiM" TargetMode="External"/><Relationship Id="rId5" Type="http://schemas.openxmlformats.org/officeDocument/2006/relationships/styles" Target="styles.xml"/><Relationship Id="rId15" Type="http://schemas.openxmlformats.org/officeDocument/2006/relationships/hyperlink" Target="https://costoflivingsupport.campaign.gov.uk/" TargetMode="External"/><Relationship Id="rId23" Type="http://schemas.openxmlformats.org/officeDocument/2006/relationships/theme" Target="theme/theme1.xml"/><Relationship Id="rId10" Type="http://schemas.openxmlformats.org/officeDocument/2006/relationships/hyperlink" Target="https://www.gov.uk/check-benefits-financial-support" TargetMode="External"/><Relationship Id="rId19" Type="http://schemas.openxmlformats.org/officeDocument/2006/relationships/hyperlink" Target="https://beta.gov.wales/discretionary-assistance-fund-daf" TargetMode="External"/><Relationship Id="rId4" Type="http://schemas.openxmlformats.org/officeDocument/2006/relationships/numbering" Target="numbering.xml"/><Relationship Id="rId9" Type="http://schemas.openxmlformats.org/officeDocument/2006/relationships/hyperlink" Target="https://www.gov.uk/guidance/cost-of-living-payment" TargetMode="External"/><Relationship Id="rId14" Type="http://schemas.openxmlformats.org/officeDocument/2006/relationships/hyperlink" Target="https://gov.uk/government/publications/cost-of-living-support/cost-of-living-support-factsheet-26-may-20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8959C6F4B9549AA55139B8996A9E1" ma:contentTypeVersion="18" ma:contentTypeDescription="Create a new document." ma:contentTypeScope="" ma:versionID="39d0cb0825165b8b416998bac5de21e7">
  <xsd:schema xmlns:xsd="http://www.w3.org/2001/XMLSchema" xmlns:xs="http://www.w3.org/2001/XMLSchema" xmlns:p="http://schemas.microsoft.com/office/2006/metadata/properties" xmlns:ns1="http://schemas.microsoft.com/sharepoint/v3" xmlns:ns2="4907b6fc-6914-4bd5-852b-d5ad3b26c346" xmlns:ns3="b8aa48ac-208f-4680-9244-2c2beb652f1d" xmlns:ns4="a04dbe3e-63b4-48d2-9d03-f0eb0c7bc09d" targetNamespace="http://schemas.microsoft.com/office/2006/metadata/properties" ma:root="true" ma:fieldsID="410d8cb7d69160eca72ba38738f83f8d" ns1:_="" ns2:_="" ns3:_="" ns4:_="">
    <xsd:import namespace="http://schemas.microsoft.com/sharepoint/v3"/>
    <xsd:import namespace="4907b6fc-6914-4bd5-852b-d5ad3b26c346"/>
    <xsd:import namespace="b8aa48ac-208f-4680-9244-2c2beb652f1d"/>
    <xsd:import namespace="a04dbe3e-63b4-48d2-9d03-f0eb0c7bc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07b6fc-6914-4bd5-852b-d5ad3b26c3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aa48ac-208f-4680-9244-2c2beb652f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6f734d6-fc1c-467d-a4e0-f0f50b11019d}" ma:internalName="TaxCatchAll" ma:showField="CatchAllData" ma:web="b8aa48ac-208f-4680-9244-2c2beb652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aa48ac-208f-4680-9244-2c2beb652f1d">
      <UserInfo>
        <DisplayName/>
        <AccountId xsi:nil="true"/>
        <AccountType/>
      </UserInfo>
    </SharedWithUsers>
    <TaxCatchAll xmlns="a04dbe3e-63b4-48d2-9d03-f0eb0c7bc09d" xsi:nil="true"/>
    <lcf76f155ced4ddcb4097134ff3c332f xmlns="4907b6fc-6914-4bd5-852b-d5ad3b26c34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4D668C-5BFD-47DF-9137-696A5AB13822}">
  <ds:schemaRefs>
    <ds:schemaRef ds:uri="http://schemas.microsoft.com/sharepoint/v3/contenttype/forms"/>
  </ds:schemaRefs>
</ds:datastoreItem>
</file>

<file path=customXml/itemProps2.xml><?xml version="1.0" encoding="utf-8"?>
<ds:datastoreItem xmlns:ds="http://schemas.openxmlformats.org/officeDocument/2006/customXml" ds:itemID="{E508FAEB-67E3-4C10-AA7A-1927835F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07b6fc-6914-4bd5-852b-d5ad3b26c346"/>
    <ds:schemaRef ds:uri="b8aa48ac-208f-4680-9244-2c2beb652f1d"/>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0DD61-DAB2-4E30-A14B-0871BFCF1DA9}">
  <ds:schemaRefs>
    <ds:schemaRef ds:uri="http://schemas.microsoft.com/office/2006/metadata/properties"/>
    <ds:schemaRef ds:uri="http://schemas.microsoft.com/office/infopath/2007/PartnerControls"/>
    <ds:schemaRef ds:uri="b8aa48ac-208f-4680-9244-2c2beb652f1d"/>
    <ds:schemaRef ds:uri="a04dbe3e-63b4-48d2-9d03-f0eb0c7bc09d"/>
    <ds:schemaRef ds:uri="4907b6fc-6914-4bd5-852b-d5ad3b26c34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Tom DWP DWP COMMUNICATIONS</dc:creator>
  <cp:keywords/>
  <dc:description/>
  <cp:lastModifiedBy>Reece Marriott</cp:lastModifiedBy>
  <cp:revision>10</cp:revision>
  <dcterms:created xsi:type="dcterms:W3CDTF">2022-07-05T10:31:00Z</dcterms:created>
  <dcterms:modified xsi:type="dcterms:W3CDTF">2022-10-29T13:22:00Z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0x0101006778959C6F4B9549AA55139B8996A9E1</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